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C11A" w14:textId="77777777" w:rsidR="00D55D37" w:rsidRPr="00431B56" w:rsidRDefault="00D55D37" w:rsidP="00D55D37">
      <w:pPr>
        <w:pStyle w:val="NormalWeb"/>
        <w:shd w:val="clear" w:color="auto" w:fill="FFFFFF"/>
        <w:spacing w:before="0" w:beforeAutospacing="0" w:after="120" w:afterAutospacing="0"/>
        <w:rPr>
          <w:rFonts w:ascii="Arial" w:hAnsi="Arial" w:cs="Arial"/>
          <w:b/>
          <w:bCs/>
          <w:color w:val="000000"/>
          <w:u w:val="single"/>
        </w:rPr>
      </w:pPr>
      <w:bookmarkStart w:id="0" w:name="Appendix_A"/>
      <w:r w:rsidRPr="00431B56">
        <w:rPr>
          <w:rFonts w:ascii="Arial" w:hAnsi="Arial" w:cs="Arial"/>
          <w:b/>
          <w:bCs/>
          <w:color w:val="000000"/>
          <w:u w:val="single"/>
        </w:rPr>
        <w:t>Appendix A</w:t>
      </w:r>
    </w:p>
    <w:bookmarkEnd w:id="0"/>
    <w:p w14:paraId="379686D8" w14:textId="77777777" w:rsidR="00D55D37" w:rsidRPr="00E96CD2" w:rsidRDefault="00D55D37" w:rsidP="00D55D37">
      <w:pPr>
        <w:pStyle w:val="NormalWeb"/>
        <w:shd w:val="clear" w:color="auto" w:fill="FFFFFF"/>
        <w:spacing w:before="0" w:beforeAutospacing="0" w:after="120" w:afterAutospacing="0"/>
        <w:rPr>
          <w:rFonts w:ascii="Arial" w:hAnsi="Arial" w:cs="Arial"/>
          <w:color w:val="000000"/>
        </w:rPr>
      </w:pPr>
    </w:p>
    <w:p w14:paraId="24BFEC74" w14:textId="77777777" w:rsidR="00D55D37" w:rsidRPr="00E96CD2" w:rsidRDefault="00D55D37" w:rsidP="00D55D37">
      <w:pPr>
        <w:pStyle w:val="Guidelinebulletlevel1"/>
        <w:numPr>
          <w:ilvl w:val="0"/>
          <w:numId w:val="0"/>
        </w:numPr>
        <w:ind w:left="360"/>
        <w:rPr>
          <w:rFonts w:cs="Arial"/>
          <w:sz w:val="24"/>
          <w:szCs w:val="24"/>
        </w:rPr>
      </w:pPr>
      <w:r w:rsidRPr="00E96CD2">
        <w:rPr>
          <w:rFonts w:cs="Arial"/>
          <w:sz w:val="24"/>
          <w:szCs w:val="24"/>
        </w:rPr>
        <w:t xml:space="preserve">Definitions </w:t>
      </w:r>
    </w:p>
    <w:tbl>
      <w:tblPr>
        <w:tblStyle w:val="TableGrid"/>
        <w:tblW w:w="9640" w:type="dxa"/>
        <w:tblInd w:w="-289" w:type="dxa"/>
        <w:tblLook w:val="04A0" w:firstRow="1" w:lastRow="0" w:firstColumn="1" w:lastColumn="0" w:noHBand="0" w:noVBand="1"/>
      </w:tblPr>
      <w:tblGrid>
        <w:gridCol w:w="3294"/>
        <w:gridCol w:w="3369"/>
        <w:gridCol w:w="2977"/>
      </w:tblGrid>
      <w:tr w:rsidR="00D55D37" w:rsidRPr="00E96CD2" w14:paraId="4F90FA52" w14:textId="77777777" w:rsidTr="00D13296">
        <w:tc>
          <w:tcPr>
            <w:tcW w:w="3294" w:type="dxa"/>
          </w:tcPr>
          <w:p w14:paraId="71DEEBC3" w14:textId="77777777" w:rsidR="00D55D37" w:rsidRPr="00E96CD2" w:rsidRDefault="00D55D37" w:rsidP="00D13296">
            <w:pPr>
              <w:spacing w:after="100" w:afterAutospacing="1"/>
              <w:outlineLvl w:val="1"/>
              <w:rPr>
                <w:rFonts w:ascii="Arial" w:eastAsia="Times New Roman" w:hAnsi="Arial" w:cs="Arial"/>
                <w:b/>
                <w:bCs/>
                <w:color w:val="7D83BF"/>
                <w:sz w:val="24"/>
                <w:szCs w:val="24"/>
                <w:lang w:eastAsia="en-GB"/>
              </w:rPr>
            </w:pPr>
            <w:r w:rsidRPr="00E96CD2">
              <w:rPr>
                <w:rFonts w:ascii="Arial" w:hAnsi="Arial" w:cs="Arial"/>
                <w:sz w:val="24"/>
                <w:szCs w:val="24"/>
              </w:rPr>
              <w:t xml:space="preserve">Term </w:t>
            </w:r>
          </w:p>
        </w:tc>
        <w:tc>
          <w:tcPr>
            <w:tcW w:w="3369" w:type="dxa"/>
          </w:tcPr>
          <w:p w14:paraId="10079EF0" w14:textId="77777777" w:rsidR="00D55D37" w:rsidRPr="00E96CD2" w:rsidRDefault="00D55D37" w:rsidP="00D13296">
            <w:pPr>
              <w:spacing w:after="100" w:afterAutospacing="1"/>
              <w:outlineLvl w:val="1"/>
              <w:rPr>
                <w:rFonts w:ascii="Arial" w:eastAsia="Times New Roman" w:hAnsi="Arial" w:cs="Arial"/>
                <w:b/>
                <w:bCs/>
                <w:color w:val="7D83BF"/>
                <w:sz w:val="24"/>
                <w:szCs w:val="24"/>
                <w:lang w:eastAsia="en-GB"/>
              </w:rPr>
            </w:pPr>
            <w:r w:rsidRPr="00E96CD2">
              <w:rPr>
                <w:rFonts w:ascii="Arial" w:hAnsi="Arial" w:cs="Arial"/>
                <w:sz w:val="24"/>
                <w:szCs w:val="24"/>
              </w:rPr>
              <w:t>Definition</w:t>
            </w:r>
          </w:p>
        </w:tc>
        <w:tc>
          <w:tcPr>
            <w:tcW w:w="2977" w:type="dxa"/>
          </w:tcPr>
          <w:p w14:paraId="0F6923D9" w14:textId="77777777" w:rsidR="00D55D37" w:rsidRPr="00E96CD2" w:rsidRDefault="00D55D37" w:rsidP="00D13296">
            <w:pPr>
              <w:spacing w:after="100" w:afterAutospacing="1"/>
              <w:outlineLvl w:val="1"/>
              <w:rPr>
                <w:rFonts w:ascii="Arial" w:eastAsia="Times New Roman" w:hAnsi="Arial" w:cs="Arial"/>
                <w:b/>
                <w:bCs/>
                <w:color w:val="7D83BF"/>
                <w:sz w:val="24"/>
                <w:szCs w:val="24"/>
                <w:lang w:eastAsia="en-GB"/>
              </w:rPr>
            </w:pPr>
            <w:r w:rsidRPr="00E96CD2">
              <w:rPr>
                <w:rFonts w:ascii="Arial" w:hAnsi="Arial" w:cs="Arial"/>
                <w:sz w:val="24"/>
                <w:szCs w:val="24"/>
              </w:rPr>
              <w:t>Synonyms</w:t>
            </w:r>
          </w:p>
        </w:tc>
      </w:tr>
      <w:tr w:rsidR="00D55D37" w:rsidRPr="00E96CD2" w14:paraId="2DAC2270" w14:textId="77777777" w:rsidTr="00D13296">
        <w:tc>
          <w:tcPr>
            <w:tcW w:w="3294" w:type="dxa"/>
          </w:tcPr>
          <w:p w14:paraId="07E0085D" w14:textId="77777777" w:rsidR="00D55D37" w:rsidRPr="00E96CD2" w:rsidRDefault="00D55D37" w:rsidP="00D13296">
            <w:pPr>
              <w:spacing w:after="100" w:afterAutospacing="1"/>
              <w:outlineLvl w:val="1"/>
              <w:rPr>
                <w:rFonts w:ascii="Arial" w:eastAsia="Times New Roman" w:hAnsi="Arial" w:cs="Arial"/>
                <w:b/>
                <w:bCs/>
                <w:color w:val="7D83BF"/>
                <w:sz w:val="24"/>
                <w:szCs w:val="24"/>
                <w:lang w:eastAsia="en-GB"/>
              </w:rPr>
            </w:pPr>
            <w:r w:rsidRPr="00E96CD2">
              <w:rPr>
                <w:rFonts w:ascii="Arial" w:hAnsi="Arial" w:cs="Arial"/>
                <w:sz w:val="24"/>
                <w:szCs w:val="24"/>
              </w:rPr>
              <w:t>Medically Unexplained Symptoms (MUS)</w:t>
            </w:r>
          </w:p>
        </w:tc>
        <w:tc>
          <w:tcPr>
            <w:tcW w:w="3369" w:type="dxa"/>
          </w:tcPr>
          <w:p w14:paraId="38AD92D4" w14:textId="77777777" w:rsidR="00D55D37" w:rsidRPr="00E96CD2" w:rsidRDefault="00D55D37" w:rsidP="00D13296">
            <w:pPr>
              <w:spacing w:after="100" w:afterAutospacing="1"/>
              <w:outlineLvl w:val="1"/>
              <w:rPr>
                <w:rFonts w:ascii="Arial" w:eastAsia="Times New Roman" w:hAnsi="Arial" w:cs="Arial"/>
                <w:b/>
                <w:bCs/>
                <w:color w:val="7D83BF"/>
                <w:sz w:val="24"/>
                <w:szCs w:val="24"/>
                <w:lang w:eastAsia="en-GB"/>
              </w:rPr>
            </w:pPr>
            <w:r w:rsidRPr="00E96CD2">
              <w:rPr>
                <w:rFonts w:ascii="Arial" w:hAnsi="Arial" w:cs="Arial"/>
                <w:sz w:val="24"/>
                <w:szCs w:val="24"/>
              </w:rPr>
              <w:t>The child’s symptoms, of which the child complains and which are genuinely experienced, are not fully explained by any known pathology but with likely underlying factors in the child (usually of a psychosocial nature), and the parents acknowledge this to be the case. The health professionals and parents work collaboratively to achieve evidence-based therapeutic work in the best interests of the child or young person. MUS can also be described as ‘functional disorders’ and are abnormal bodily sensations which cause pain and disability by affecting the normal functioning of the body.</w:t>
            </w:r>
          </w:p>
        </w:tc>
        <w:tc>
          <w:tcPr>
            <w:tcW w:w="2977" w:type="dxa"/>
          </w:tcPr>
          <w:p w14:paraId="75E6ADF2" w14:textId="77777777" w:rsidR="00D55D37" w:rsidRPr="00E96CD2" w:rsidRDefault="00D55D37" w:rsidP="00D13296">
            <w:pPr>
              <w:spacing w:after="100" w:afterAutospacing="1"/>
              <w:outlineLvl w:val="1"/>
              <w:rPr>
                <w:rFonts w:ascii="Arial" w:eastAsia="Times New Roman" w:hAnsi="Arial" w:cs="Arial"/>
                <w:b/>
                <w:bCs/>
                <w:color w:val="7D83BF"/>
                <w:sz w:val="24"/>
                <w:szCs w:val="24"/>
                <w:lang w:eastAsia="en-GB"/>
              </w:rPr>
            </w:pPr>
            <w:r w:rsidRPr="00E96CD2">
              <w:rPr>
                <w:rFonts w:ascii="Arial" w:hAnsi="Arial" w:cs="Arial"/>
                <w:sz w:val="24"/>
                <w:szCs w:val="24"/>
              </w:rPr>
              <w:t>Non-organic symptoms, Functional illness, Psychosomatic symptoms.</w:t>
            </w:r>
          </w:p>
        </w:tc>
      </w:tr>
      <w:tr w:rsidR="00D55D37" w:rsidRPr="00E96CD2" w14:paraId="098381CC" w14:textId="77777777" w:rsidTr="00D13296">
        <w:tc>
          <w:tcPr>
            <w:tcW w:w="3294" w:type="dxa"/>
          </w:tcPr>
          <w:p w14:paraId="3FB1F08A" w14:textId="77777777" w:rsidR="00D55D37" w:rsidRPr="00E96CD2" w:rsidRDefault="00D55D37" w:rsidP="00D13296">
            <w:pPr>
              <w:spacing w:after="100" w:afterAutospacing="1"/>
              <w:outlineLvl w:val="1"/>
              <w:rPr>
                <w:rFonts w:ascii="Arial" w:eastAsia="Times New Roman" w:hAnsi="Arial" w:cs="Arial"/>
                <w:b/>
                <w:bCs/>
                <w:color w:val="7D83BF"/>
                <w:sz w:val="24"/>
                <w:szCs w:val="24"/>
                <w:lang w:eastAsia="en-GB"/>
              </w:rPr>
            </w:pPr>
            <w:r w:rsidRPr="00E96CD2">
              <w:rPr>
                <w:rFonts w:ascii="Arial" w:hAnsi="Arial" w:cs="Arial"/>
                <w:sz w:val="24"/>
                <w:szCs w:val="24"/>
              </w:rPr>
              <w:t>Perplexing Presentations (PP)</w:t>
            </w:r>
          </w:p>
        </w:tc>
        <w:tc>
          <w:tcPr>
            <w:tcW w:w="3369" w:type="dxa"/>
          </w:tcPr>
          <w:p w14:paraId="2865AD69" w14:textId="77777777" w:rsidR="00D55D37" w:rsidRPr="00E96CD2" w:rsidRDefault="00D55D37" w:rsidP="00D13296">
            <w:pPr>
              <w:spacing w:after="100" w:afterAutospacing="1"/>
              <w:outlineLvl w:val="1"/>
              <w:rPr>
                <w:rFonts w:ascii="Arial" w:eastAsia="Times New Roman" w:hAnsi="Arial" w:cs="Arial"/>
                <w:b/>
                <w:bCs/>
                <w:color w:val="7D83BF"/>
                <w:sz w:val="24"/>
                <w:szCs w:val="24"/>
                <w:lang w:eastAsia="en-GB"/>
              </w:rPr>
            </w:pPr>
            <w:r w:rsidRPr="00E96CD2">
              <w:rPr>
                <w:rFonts w:ascii="Arial" w:hAnsi="Arial" w:cs="Arial"/>
                <w:sz w:val="24"/>
                <w:szCs w:val="24"/>
              </w:rPr>
              <w:t>Presence of alerting signs when the actual state of the child’s physical/ mental health is not yet clear but there is no perceived risk of immediate serious harm to the child’s physical health or life.</w:t>
            </w:r>
          </w:p>
        </w:tc>
        <w:tc>
          <w:tcPr>
            <w:tcW w:w="2977" w:type="dxa"/>
          </w:tcPr>
          <w:p w14:paraId="5FBA4F5D" w14:textId="77777777" w:rsidR="00D55D37" w:rsidRPr="00E96CD2" w:rsidRDefault="00D55D37" w:rsidP="00D13296">
            <w:pPr>
              <w:spacing w:after="100" w:afterAutospacing="1"/>
              <w:outlineLvl w:val="1"/>
              <w:rPr>
                <w:rFonts w:ascii="Arial" w:eastAsia="Times New Roman" w:hAnsi="Arial" w:cs="Arial"/>
                <w:b/>
                <w:bCs/>
                <w:color w:val="7D83BF"/>
                <w:sz w:val="24"/>
                <w:szCs w:val="24"/>
                <w:lang w:eastAsia="en-GB"/>
              </w:rPr>
            </w:pPr>
          </w:p>
        </w:tc>
      </w:tr>
      <w:tr w:rsidR="00D55D37" w:rsidRPr="00E96CD2" w14:paraId="792B79C8" w14:textId="77777777" w:rsidTr="00D13296">
        <w:tc>
          <w:tcPr>
            <w:tcW w:w="3294" w:type="dxa"/>
          </w:tcPr>
          <w:p w14:paraId="15172EE0" w14:textId="77777777" w:rsidR="00D55D37" w:rsidRPr="00E96CD2" w:rsidRDefault="00D55D37" w:rsidP="00D13296">
            <w:pPr>
              <w:spacing w:after="100" w:afterAutospacing="1"/>
              <w:outlineLvl w:val="1"/>
              <w:rPr>
                <w:rFonts w:ascii="Arial" w:hAnsi="Arial" w:cs="Arial"/>
                <w:sz w:val="24"/>
                <w:szCs w:val="24"/>
              </w:rPr>
            </w:pPr>
            <w:r w:rsidRPr="00E96CD2">
              <w:rPr>
                <w:rFonts w:ascii="Arial" w:hAnsi="Arial" w:cs="Arial"/>
                <w:sz w:val="24"/>
                <w:szCs w:val="24"/>
              </w:rPr>
              <w:t>Fabricated or Induced Illness (FII)</w:t>
            </w:r>
          </w:p>
        </w:tc>
        <w:tc>
          <w:tcPr>
            <w:tcW w:w="3369" w:type="dxa"/>
          </w:tcPr>
          <w:p w14:paraId="356E10F5" w14:textId="77777777" w:rsidR="00D55D37" w:rsidRPr="00E96CD2" w:rsidRDefault="00D55D37" w:rsidP="00D13296">
            <w:pPr>
              <w:spacing w:after="100" w:afterAutospacing="1"/>
              <w:outlineLvl w:val="1"/>
              <w:rPr>
                <w:rFonts w:ascii="Arial" w:hAnsi="Arial" w:cs="Arial"/>
                <w:sz w:val="24"/>
                <w:szCs w:val="24"/>
              </w:rPr>
            </w:pPr>
            <w:r w:rsidRPr="00E96CD2">
              <w:rPr>
                <w:rFonts w:ascii="Arial" w:hAnsi="Arial" w:cs="Arial"/>
                <w:sz w:val="24"/>
                <w:szCs w:val="24"/>
              </w:rPr>
              <w:t xml:space="preserve">FII is a clinical situation in which a child is, or is very likely to be, harmed due to parent(s’) behaviour and action, carried out in order to convince doctors that the child’s state of physical and/or mental health or neurodevelopment is impaired (or more impaired than is actually the case). FII results in emotional and </w:t>
            </w:r>
            <w:r w:rsidRPr="00E96CD2">
              <w:rPr>
                <w:rFonts w:ascii="Arial" w:hAnsi="Arial" w:cs="Arial"/>
                <w:sz w:val="24"/>
                <w:szCs w:val="24"/>
              </w:rPr>
              <w:lastRenderedPageBreak/>
              <w:t>physical abuse and neglect including iatrogenic harm.</w:t>
            </w:r>
          </w:p>
        </w:tc>
        <w:tc>
          <w:tcPr>
            <w:tcW w:w="2977" w:type="dxa"/>
          </w:tcPr>
          <w:p w14:paraId="5A8D48B7" w14:textId="77777777" w:rsidR="00D55D37" w:rsidRPr="00E96CD2" w:rsidRDefault="00D55D37" w:rsidP="00D13296">
            <w:pPr>
              <w:spacing w:after="100" w:afterAutospacing="1"/>
              <w:outlineLvl w:val="1"/>
              <w:rPr>
                <w:rFonts w:ascii="Arial" w:eastAsia="Times New Roman" w:hAnsi="Arial" w:cs="Arial"/>
                <w:b/>
                <w:bCs/>
                <w:color w:val="7D83BF"/>
                <w:sz w:val="24"/>
                <w:szCs w:val="24"/>
                <w:lang w:eastAsia="en-GB"/>
              </w:rPr>
            </w:pPr>
            <w:r w:rsidRPr="00E96CD2">
              <w:rPr>
                <w:rFonts w:ascii="Arial" w:hAnsi="Arial" w:cs="Arial"/>
                <w:sz w:val="24"/>
                <w:szCs w:val="24"/>
              </w:rPr>
              <w:lastRenderedPageBreak/>
              <w:t>Munchausen Syndrome by Proxy; Paediatric Condition Falsification; Medical Child Abuse; Parent-Fabricated Illness in a Child; (Factitious Disorder Imposed on Another, when there is explicit deception)</w:t>
            </w:r>
          </w:p>
        </w:tc>
      </w:tr>
      <w:tr w:rsidR="00D55D37" w:rsidRPr="00E96CD2" w14:paraId="0DD37EFE" w14:textId="77777777" w:rsidTr="00D13296">
        <w:tc>
          <w:tcPr>
            <w:tcW w:w="3294" w:type="dxa"/>
          </w:tcPr>
          <w:p w14:paraId="13EBDDAD" w14:textId="77777777" w:rsidR="00D55D37" w:rsidRPr="00E96CD2" w:rsidRDefault="00D55D37" w:rsidP="00D13296">
            <w:pPr>
              <w:spacing w:after="100" w:afterAutospacing="1"/>
              <w:outlineLvl w:val="1"/>
              <w:rPr>
                <w:rFonts w:ascii="Arial" w:hAnsi="Arial" w:cs="Arial"/>
                <w:sz w:val="24"/>
                <w:szCs w:val="24"/>
              </w:rPr>
            </w:pPr>
            <w:r w:rsidRPr="00E96CD2">
              <w:rPr>
                <w:rFonts w:ascii="Arial" w:hAnsi="Arial" w:cs="Arial"/>
                <w:sz w:val="24"/>
                <w:szCs w:val="24"/>
              </w:rPr>
              <w:t>Named Doctor</w:t>
            </w:r>
          </w:p>
        </w:tc>
        <w:tc>
          <w:tcPr>
            <w:tcW w:w="3369" w:type="dxa"/>
          </w:tcPr>
          <w:p w14:paraId="5AA3FE9A" w14:textId="77777777" w:rsidR="00D55D37" w:rsidRPr="00431B56" w:rsidRDefault="00D55D37" w:rsidP="00D13296">
            <w:pPr>
              <w:spacing w:after="100" w:afterAutospacing="1"/>
              <w:outlineLvl w:val="1"/>
              <w:rPr>
                <w:rFonts w:ascii="Arial" w:hAnsi="Arial" w:cs="Arial"/>
                <w:sz w:val="24"/>
                <w:szCs w:val="24"/>
              </w:rPr>
            </w:pPr>
            <w:r w:rsidRPr="00431B56">
              <w:rPr>
                <w:rFonts w:ascii="Arial" w:hAnsi="Arial" w:cs="Arial"/>
                <w:sz w:val="24"/>
                <w:szCs w:val="24"/>
              </w:rPr>
              <w:t>A statutory role within NHS organisations, this doctor will support all activities necessary to ensure that the organisation meets its responsibilities to safeguard/protect children and young people. They are usually Consultant Paediatricians with appropriate training, knowledge and experience of working with children (Safeguarding children and young people: roles and competencies for healthcare staff, published by the Royal College of Nursing in January 2019)</w:t>
            </w:r>
          </w:p>
        </w:tc>
        <w:tc>
          <w:tcPr>
            <w:tcW w:w="2977" w:type="dxa"/>
          </w:tcPr>
          <w:p w14:paraId="606B4218" w14:textId="77777777" w:rsidR="00D55D37" w:rsidRPr="00E96CD2" w:rsidRDefault="00D55D37" w:rsidP="00D13296">
            <w:pPr>
              <w:spacing w:after="100" w:afterAutospacing="1"/>
              <w:outlineLvl w:val="1"/>
              <w:rPr>
                <w:rFonts w:ascii="Arial" w:hAnsi="Arial" w:cs="Arial"/>
                <w:sz w:val="24"/>
                <w:szCs w:val="24"/>
              </w:rPr>
            </w:pPr>
          </w:p>
        </w:tc>
      </w:tr>
      <w:tr w:rsidR="00D55D37" w:rsidRPr="00E96CD2" w14:paraId="1A8C6D38" w14:textId="77777777" w:rsidTr="00D13296">
        <w:tc>
          <w:tcPr>
            <w:tcW w:w="3294" w:type="dxa"/>
          </w:tcPr>
          <w:p w14:paraId="05BB9BD0" w14:textId="77777777" w:rsidR="00D55D37" w:rsidRPr="00E96CD2" w:rsidRDefault="00D55D37" w:rsidP="00D13296">
            <w:pPr>
              <w:spacing w:after="100" w:afterAutospacing="1"/>
              <w:outlineLvl w:val="1"/>
              <w:rPr>
                <w:rFonts w:ascii="Arial" w:hAnsi="Arial" w:cs="Arial"/>
                <w:sz w:val="24"/>
                <w:szCs w:val="24"/>
              </w:rPr>
            </w:pPr>
            <w:r w:rsidRPr="00E96CD2">
              <w:rPr>
                <w:rFonts w:ascii="Arial" w:hAnsi="Arial" w:cs="Arial"/>
                <w:sz w:val="24"/>
                <w:szCs w:val="24"/>
              </w:rPr>
              <w:t xml:space="preserve">Designated </w:t>
            </w:r>
            <w:r>
              <w:rPr>
                <w:rFonts w:ascii="Arial" w:hAnsi="Arial" w:cs="Arial"/>
                <w:sz w:val="24"/>
                <w:szCs w:val="24"/>
              </w:rPr>
              <w:t>P</w:t>
            </w:r>
            <w:r w:rsidRPr="00E96CD2">
              <w:rPr>
                <w:rFonts w:ascii="Arial" w:hAnsi="Arial" w:cs="Arial"/>
                <w:sz w:val="24"/>
                <w:szCs w:val="24"/>
              </w:rPr>
              <w:t>rofessionals</w:t>
            </w:r>
          </w:p>
        </w:tc>
        <w:tc>
          <w:tcPr>
            <w:tcW w:w="3369" w:type="dxa"/>
          </w:tcPr>
          <w:p w14:paraId="09551D42" w14:textId="77777777" w:rsidR="00D55D37" w:rsidRPr="00431B56" w:rsidRDefault="00D55D37" w:rsidP="00D13296">
            <w:pPr>
              <w:spacing w:after="100" w:afterAutospacing="1"/>
              <w:outlineLvl w:val="1"/>
              <w:rPr>
                <w:rFonts w:ascii="Arial" w:hAnsi="Arial" w:cs="Arial"/>
                <w:sz w:val="24"/>
                <w:szCs w:val="24"/>
              </w:rPr>
            </w:pPr>
            <w:r w:rsidRPr="00431B56">
              <w:rPr>
                <w:rFonts w:ascii="Arial" w:hAnsi="Arial" w:cs="Arial"/>
                <w:sz w:val="24"/>
                <w:szCs w:val="24"/>
              </w:rPr>
              <w:t>Are clinical experts and strategic leaders, take a strategic, professional lead on all aspects of the health service contribution to safeguarding children across the area, providing support to all providers and linking particularly with named child safeguarding health professionals, local authority children’s services, and local safeguarding partnerships /the safeguarding panel of the health and social care trust, and the NHS England. (Safeguarding children and young people: roles and competencies for healthcare staff, published by the Royal College of Nursing in January 2019)</w:t>
            </w:r>
          </w:p>
        </w:tc>
        <w:tc>
          <w:tcPr>
            <w:tcW w:w="2977" w:type="dxa"/>
          </w:tcPr>
          <w:p w14:paraId="21502447" w14:textId="77777777" w:rsidR="00D55D37" w:rsidRPr="00E96CD2" w:rsidRDefault="00D55D37" w:rsidP="00D13296">
            <w:pPr>
              <w:spacing w:after="100" w:afterAutospacing="1"/>
              <w:outlineLvl w:val="1"/>
              <w:rPr>
                <w:rFonts w:ascii="Arial" w:hAnsi="Arial" w:cs="Arial"/>
                <w:sz w:val="24"/>
                <w:szCs w:val="24"/>
              </w:rPr>
            </w:pPr>
          </w:p>
        </w:tc>
      </w:tr>
    </w:tbl>
    <w:p w14:paraId="1846C461" w14:textId="77777777" w:rsidR="00D55D37" w:rsidRPr="00E96CD2" w:rsidRDefault="00D55D37" w:rsidP="00D55D37">
      <w:pPr>
        <w:pStyle w:val="NormalWeb"/>
        <w:shd w:val="clear" w:color="auto" w:fill="FFFFFF"/>
        <w:spacing w:before="0" w:beforeAutospacing="0" w:after="120" w:afterAutospacing="0"/>
        <w:rPr>
          <w:rFonts w:ascii="Arial" w:hAnsi="Arial" w:cs="Arial"/>
          <w:color w:val="000000"/>
        </w:rPr>
      </w:pPr>
    </w:p>
    <w:p w14:paraId="6DE87834" w14:textId="77777777" w:rsidR="00D55D37" w:rsidRPr="00E96CD2" w:rsidRDefault="00D55D37" w:rsidP="00D55D37">
      <w:pPr>
        <w:pStyle w:val="NormalWeb"/>
        <w:shd w:val="clear" w:color="auto" w:fill="FFFFFF"/>
        <w:spacing w:before="0" w:beforeAutospacing="0" w:after="120" w:afterAutospacing="0"/>
        <w:rPr>
          <w:rFonts w:ascii="Arial" w:hAnsi="Arial" w:cs="Arial"/>
          <w:color w:val="000000"/>
        </w:rPr>
      </w:pPr>
    </w:p>
    <w:p w14:paraId="3E907E63" w14:textId="255A7916" w:rsidR="00D55D37" w:rsidRPr="00D55D37" w:rsidRDefault="00D55D37">
      <w:pPr>
        <w:rPr>
          <w:rFonts w:ascii="Arial" w:eastAsia="Times New Roman" w:hAnsi="Arial" w:cs="Arial"/>
          <w:color w:val="000000"/>
          <w:sz w:val="24"/>
          <w:szCs w:val="24"/>
          <w:lang w:eastAsia="en-GB"/>
        </w:rPr>
      </w:pPr>
    </w:p>
    <w:sectPr w:rsidR="00D55D37" w:rsidRPr="00D55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B72AF"/>
    <w:multiLevelType w:val="multilevel"/>
    <w:tmpl w:val="63E6C980"/>
    <w:lvl w:ilvl="0">
      <w:start w:val="1"/>
      <w:numFmt w:val="decimal"/>
      <w:pStyle w:val="Guidelinebulletlevel1"/>
      <w:lvlText w:val="%1."/>
      <w:lvlJc w:val="left"/>
      <w:pPr>
        <w:ind w:left="360" w:hanging="360"/>
      </w:pPr>
    </w:lvl>
    <w:lvl w:ilvl="1">
      <w:start w:val="1"/>
      <w:numFmt w:val="decimal"/>
      <w:pStyle w:val="Guidelinebulletlevel2"/>
      <w:lvlText w:val="%1.%2."/>
      <w:lvlJc w:val="left"/>
      <w:pPr>
        <w:ind w:left="792" w:hanging="432"/>
      </w:pPr>
    </w:lvl>
    <w:lvl w:ilvl="2">
      <w:start w:val="1"/>
      <w:numFmt w:val="decimal"/>
      <w:pStyle w:val="GuidelinebulletLevel3"/>
      <w:lvlText w:val="%1.%2.%3."/>
      <w:lvlJc w:val="left"/>
      <w:pPr>
        <w:ind w:left="1224" w:hanging="504"/>
      </w:pPr>
    </w:lvl>
    <w:lvl w:ilvl="3">
      <w:start w:val="1"/>
      <w:numFmt w:val="decimal"/>
      <w:pStyle w:val="Guidelinebullet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338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37"/>
    <w:rsid w:val="00D5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AEEB"/>
  <w15:chartTrackingRefBased/>
  <w15:docId w15:val="{3FBA6C31-BA21-46B4-82D2-5D76256F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37"/>
  </w:style>
  <w:style w:type="paragraph" w:styleId="Heading3">
    <w:name w:val="heading 3"/>
    <w:basedOn w:val="Normal"/>
    <w:next w:val="Normal"/>
    <w:link w:val="Heading3Char"/>
    <w:uiPriority w:val="9"/>
    <w:semiHidden/>
    <w:unhideWhenUsed/>
    <w:qFormat/>
    <w:rsid w:val="00D55D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D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5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bulletlevel1">
    <w:name w:val="Guideline bullet level 1"/>
    <w:basedOn w:val="Heading3"/>
    <w:qFormat/>
    <w:rsid w:val="00D55D37"/>
    <w:pPr>
      <w:keepLines w:val="0"/>
      <w:numPr>
        <w:numId w:val="1"/>
      </w:numPr>
      <w:tabs>
        <w:tab w:val="num" w:pos="360"/>
      </w:tabs>
      <w:spacing w:before="240" w:after="120" w:line="300" w:lineRule="auto"/>
      <w:ind w:left="709" w:hanging="709"/>
    </w:pPr>
    <w:rPr>
      <w:rFonts w:ascii="Arial" w:eastAsia="Calibri" w:hAnsi="Arial" w:cs="Times New Roman"/>
      <w:b/>
      <w:color w:val="auto"/>
      <w:sz w:val="28"/>
      <w:szCs w:val="20"/>
      <w:lang w:eastAsia="en-GB"/>
    </w:rPr>
  </w:style>
  <w:style w:type="paragraph" w:customStyle="1" w:styleId="Guidelinebulletlevel2">
    <w:name w:val="Guideline bullet level 2"/>
    <w:basedOn w:val="Normal"/>
    <w:qFormat/>
    <w:rsid w:val="00D55D37"/>
    <w:pPr>
      <w:keepNext/>
      <w:numPr>
        <w:ilvl w:val="1"/>
        <w:numId w:val="1"/>
      </w:numPr>
      <w:spacing w:before="120" w:after="240" w:line="300" w:lineRule="auto"/>
      <w:ind w:left="709" w:hanging="709"/>
    </w:pPr>
    <w:rPr>
      <w:rFonts w:ascii="Arial" w:eastAsia="Calibri" w:hAnsi="Arial" w:cs="Times New Roman"/>
      <w:sz w:val="24"/>
      <w:szCs w:val="24"/>
      <w:lang w:eastAsia="en-GB"/>
    </w:rPr>
  </w:style>
  <w:style w:type="paragraph" w:customStyle="1" w:styleId="GuidelinebulletLevel3">
    <w:name w:val="Guideline bullet Level 3"/>
    <w:basedOn w:val="Guidelinebulletlevel2"/>
    <w:qFormat/>
    <w:rsid w:val="00D55D37"/>
    <w:pPr>
      <w:numPr>
        <w:ilvl w:val="2"/>
      </w:numPr>
      <w:ind w:left="1560" w:hanging="709"/>
    </w:pPr>
  </w:style>
  <w:style w:type="paragraph" w:customStyle="1" w:styleId="Guidelinebulletlevel4">
    <w:name w:val="Guideline bullet level 4"/>
    <w:basedOn w:val="GuidelinebulletLevel3"/>
    <w:qFormat/>
    <w:rsid w:val="00D55D37"/>
    <w:pPr>
      <w:numPr>
        <w:ilvl w:val="3"/>
      </w:numPr>
      <w:ind w:left="709" w:hanging="709"/>
    </w:pPr>
  </w:style>
  <w:style w:type="character" w:customStyle="1" w:styleId="Heading3Char">
    <w:name w:val="Heading 3 Char"/>
    <w:basedOn w:val="DefaultParagraphFont"/>
    <w:link w:val="Heading3"/>
    <w:uiPriority w:val="9"/>
    <w:semiHidden/>
    <w:rsid w:val="00D55D3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Cassini</dc:creator>
  <cp:keywords/>
  <dc:description/>
  <cp:lastModifiedBy>Liz Cassini</cp:lastModifiedBy>
  <cp:revision>1</cp:revision>
  <dcterms:created xsi:type="dcterms:W3CDTF">2022-10-11T14:34:00Z</dcterms:created>
  <dcterms:modified xsi:type="dcterms:W3CDTF">2022-10-11T14:34:00Z</dcterms:modified>
</cp:coreProperties>
</file>